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>
              <w:rPr>
                <w:rFonts w:asciiTheme="majorHAnsi" w:hAnsiTheme="majorHAnsi"/>
                <w:b/>
                <w:sz w:val="18"/>
                <w:szCs w:val="18"/>
              </w:rPr>
              <w:t>Odabrana poglavlja neorganske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opnh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65E7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65E7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D37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85,71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D37D2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1D37D2">
              <w:rPr>
                <w:rFonts w:asciiTheme="majorHAnsi" w:hAnsiTheme="majorHAnsi"/>
                <w:b/>
                <w:sz w:val="18"/>
                <w:szCs w:val="18"/>
              </w:rPr>
              <w:t>9,46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240CFC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Edukacija u hemiji, Primijenjena </w:t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Amira Cipurković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06140" w:rsidRPr="00006140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>Upoznavanje studenata sa: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teoretskim osnovama  fundamentalnih metoda i savremenih tehnika koje se primjenjuju pri sintezi složenih neorganskih produkata, prvenstveno kompleksnih spojeva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određivanjem stukture, svojstava, vrste i dužine veza sintetskih produkata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- njihovom reaktivnosti i </w:t>
            </w:r>
          </w:p>
          <w:p w:rsidR="006D272C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biološkom značaju.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savladanog nastavog programa predmeta,  studenti će biti sposobni da usavrše  fundamentalna znanja o metodama i tehnikama  dobivanja, osobinama i biološkom značaju prirodnih i sintetskih koordinacijskih spojeva, te da iste primjene u samostalnom naučno - istraživačkom  radu. 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06140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/>
                <w:b/>
                <w:sz w:val="18"/>
                <w:szCs w:val="18"/>
              </w:rPr>
              <w:t>Struktura molekula: teorija molekulskih orbitala čvrstih materija, simetrija orbitala, primjena simetrije; čvrste materije: struktura i kristalne rešetke, ionski čvrsti spojevi; koordinacijsko-kompleksni spojevi: struktura i simetrija, izomeri, teorije, ravnoteže, mehanizmi i brzina supstitucije liganada, kompleksi bora, karbona, olova i drugih elemenata; fulareni, prstenasti i klaster spojevi elemenata p-bloka, reakcijski mehanizmi kompleksa d-bloka; kompleksni spojevi elemenata d- i f-bloka; hemija bioelemenata (kisika, azota, alkalnih i zemnoalakalnih elemenata i dr.)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06140" w:rsidRPr="00006140" w:rsidRDefault="00AA0249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6140" w:rsidRPr="00006140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:rsidR="00006140" w:rsidRPr="00006140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seminarski radovi</w:t>
            </w:r>
          </w:p>
          <w:p w:rsidR="006D272C" w:rsidRDefault="00006140" w:rsidP="000061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06140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Za kontinuiranu aktivnost i prisustvo na predavanjima u toku cijelog semestra student može ostvariti maksimalno 10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Studenti pismeno polažu dva testa na kojima mogu ostvariti maksimalno 20 bodova. Svaki test se sastoji od  teoretskih pitanja koja se tiču  obrađenih tema sa predavanja.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Nakon završetka semestra studenti pismeno polažu završni ispit, na kojem mogu ostvariti maksimalno 50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U toku semestra studenti usmeno brane seminarski rad na zadanu temu, te mogu iz ove aktivnosti osvojiti maksimalno 20 bodova.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 xml:space="preserve">Obaveze studenta                Bodovi 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Prisustvo na predavanju         5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Aktivnost studenta                   5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Testovi                                      20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Seminarski  rad                       20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/>
                <w:b/>
                <w:sz w:val="18"/>
                <w:szCs w:val="18"/>
              </w:rPr>
              <w:t>Završni ispit                             50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37D2" w:rsidRPr="001D37D2" w:rsidRDefault="00AA0249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 w:rsidRPr="001D37D2">
              <w:rPr>
                <w:rFonts w:asciiTheme="majorHAnsi" w:hAnsiTheme="majorHAnsi" w:cs="Arial"/>
                <w:b/>
                <w:sz w:val="18"/>
                <w:szCs w:val="18"/>
              </w:rPr>
              <w:t>1.A. Cipurković, Bioneorganska hemija</w:t>
            </w:r>
          </w:p>
          <w:p w:rsidR="001D37D2" w:rsidRPr="001D37D2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 w:cs="Arial"/>
                <w:b/>
                <w:sz w:val="18"/>
                <w:szCs w:val="18"/>
              </w:rPr>
              <w:t>2. D.F. Shriver, P.W. Atkins, C.H. Langford: Inorganic Chemistry, Oxford University Press, 2010.</w:t>
            </w:r>
          </w:p>
          <w:p w:rsidR="006D272C" w:rsidRDefault="001D37D2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37D2">
              <w:rPr>
                <w:rFonts w:asciiTheme="majorHAnsi" w:hAnsiTheme="majorHAnsi" w:cs="Arial"/>
                <w:b/>
                <w:sz w:val="18"/>
                <w:szCs w:val="18"/>
              </w:rPr>
              <w:t>3. P. Atkins, L. Jones: Chemistry, Molecules, Matter and Change, Forth, ed. W. H. Freman and Com, New York, 1998.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1D37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D37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0061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061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E7F" w:rsidRDefault="00A65E7F">
      <w:pPr>
        <w:spacing w:line="240" w:lineRule="auto"/>
      </w:pPr>
      <w:r>
        <w:separator/>
      </w:r>
    </w:p>
  </w:endnote>
  <w:endnote w:type="continuationSeparator" w:id="0">
    <w:p w:rsidR="00A65E7F" w:rsidRDefault="00A65E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0614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D37D2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D37D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E7F" w:rsidRDefault="00A65E7F">
      <w:pPr>
        <w:spacing w:after="0"/>
      </w:pPr>
      <w:r>
        <w:separator/>
      </w:r>
    </w:p>
  </w:footnote>
  <w:footnote w:type="continuationSeparator" w:id="0">
    <w:p w:rsidR="00A65E7F" w:rsidRDefault="00A65E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6140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37D2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5E7F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4CBCB-E87C-4040-BB50-FA3960EA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842AE-AFE2-4947-9BA2-769E5938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2025-11-21T09:50:00Z</dcterms:created>
  <dcterms:modified xsi:type="dcterms:W3CDTF">2025-11-21T09:50:00Z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